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C0" w:rsidRDefault="004860C0" w:rsidP="004860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ГОДИШЊИ ИЗВЕШТАЈ</w:t>
      </w:r>
    </w:p>
    <w:p w:rsidR="004860C0" w:rsidRDefault="004860C0" w:rsidP="004860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ОСТВАРИВАЊУ РОДНЕ РАВНОПРАВНОСТИ</w:t>
      </w:r>
    </w:p>
    <w:p w:rsidR="004860C0" w:rsidRDefault="004860C0" w:rsidP="004860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1.1.202</w:t>
      </w:r>
      <w:r w:rsidR="008D28D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31.12.202</w:t>
      </w:r>
      <w:r w:rsidR="008D28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4860C0" w:rsidRDefault="004860C0" w:rsidP="00486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УСТАНОВЕ ГЕРОНТОЛОШКИ ЦЕНТАР МЛАДЕНОВАЦ</w:t>
      </w:r>
    </w:p>
    <w:p w:rsidR="004860C0" w:rsidRDefault="004860C0" w:rsidP="004860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0C0" w:rsidRPr="00E84E5A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E8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Геронтолошки</w:t>
      </w:r>
      <w:proofErr w:type="spellEnd"/>
      <w:r w:rsidRPr="00E8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E8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седишта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Филипа</w:t>
      </w:r>
      <w:proofErr w:type="spellEnd"/>
      <w:r w:rsidRPr="00E8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Филиповића</w:t>
      </w:r>
      <w:proofErr w:type="spellEnd"/>
      <w:r w:rsidRPr="00E84E5A">
        <w:rPr>
          <w:rFonts w:ascii="Times New Roman" w:hAnsi="Times New Roman" w:cs="Times New Roman"/>
          <w:sz w:val="24"/>
          <w:szCs w:val="24"/>
        </w:rPr>
        <w:t xml:space="preserve"> бр.1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</w:p>
    <w:p w:rsidR="004860C0" w:rsidRPr="00E84E5A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4E5A">
        <w:rPr>
          <w:rFonts w:ascii="Times New Roman" w:hAnsi="Times New Roman" w:cs="Times New Roman"/>
          <w:sz w:val="24"/>
          <w:szCs w:val="24"/>
        </w:rPr>
        <w:t>011/8231-826</w:t>
      </w:r>
      <w:r>
        <w:rPr>
          <w:rFonts w:ascii="Times New Roman" w:hAnsi="Times New Roman" w:cs="Times New Roman"/>
          <w:sz w:val="24"/>
          <w:szCs w:val="24"/>
        </w:rPr>
        <w:t>, 011/8230-865</w:t>
      </w:r>
    </w:p>
    <w:p w:rsidR="004860C0" w:rsidRPr="00E84E5A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електронске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поште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(e-mail): </w:t>
      </w:r>
      <w:hyperlink r:id="rId6" w:history="1">
        <w:r w:rsidRPr="00E84E5A">
          <w:rPr>
            <w:rStyle w:val="Hyperlink"/>
            <w:rFonts w:ascii="Times New Roman" w:hAnsi="Times New Roman" w:cs="Times New Roman"/>
            <w:sz w:val="24"/>
            <w:szCs w:val="24"/>
          </w:rPr>
          <w:t>gcmladenovac@gmail.com</w:t>
        </w:r>
      </w:hyperlink>
    </w:p>
    <w:p w:rsidR="004860C0" w:rsidRPr="00C8523C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презентација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www.gcmladenovac.rs</w:t>
      </w:r>
    </w:p>
    <w:p w:rsidR="004860C0" w:rsidRPr="008F7816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Матични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17413805</w:t>
      </w:r>
    </w:p>
    <w:p w:rsidR="004860C0" w:rsidRPr="008F7816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Порески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идентификациони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E5A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E84E5A">
        <w:rPr>
          <w:rFonts w:ascii="Times New Roman" w:hAnsi="Times New Roman" w:cs="Times New Roman"/>
          <w:b/>
          <w:sz w:val="24"/>
          <w:szCs w:val="24"/>
        </w:rPr>
        <w:t xml:space="preserve"> (ПИБ):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101477704</w:t>
      </w:r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2CB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CF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2CB">
        <w:rPr>
          <w:rFonts w:ascii="Times New Roman" w:hAnsi="Times New Roman" w:cs="Times New Roman"/>
          <w:sz w:val="24"/>
          <w:szCs w:val="24"/>
        </w:rPr>
        <w:t>Геронтолошки</w:t>
      </w:r>
      <w:proofErr w:type="spellEnd"/>
      <w:r w:rsidRPr="00CF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2CB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CF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2CB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CF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8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83E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III-26-1662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16.12.2022.године</w:t>
      </w:r>
      <w:r w:rsidR="006F5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21.12.2022.године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FB318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B68AA">
          <w:rPr>
            <w:rStyle w:val="Hyperlink"/>
            <w:rFonts w:ascii="Times New Roman" w:hAnsi="Times New Roman" w:cs="Times New Roman"/>
            <w:sz w:val="24"/>
            <w:szCs w:val="24"/>
          </w:rPr>
          <w:t>www.gcmladenovac.rs</w:t>
        </w:r>
      </w:hyperlink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посвећена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промовисању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0C0" w:rsidRDefault="004860C0" w:rsidP="004860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ОЦЕНА СТАЊА У ВЕЗИ СА ПОЛОЖАЈЕМ ЖЕНА И МУШКАРАЦА </w:t>
      </w:r>
    </w:p>
    <w:p w:rsidR="006F583E" w:rsidRDefault="006F583E" w:rsidP="006F58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83E" w:rsidRDefault="006F583E" w:rsidP="006F58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83E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133,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113 (85%)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и 20 (15%)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долази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583E">
        <w:rPr>
          <w:rFonts w:ascii="Times New Roman" w:hAnsi="Times New Roman" w:cs="Times New Roman"/>
          <w:sz w:val="24"/>
          <w:szCs w:val="24"/>
        </w:rPr>
        <w:t>осетна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неуравнотеженост</w:t>
      </w:r>
      <w:proofErr w:type="spellEnd"/>
      <w:proofErr w:type="gram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досадашњој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пракси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имао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proofErr w:type="gramStart"/>
      <w:r w:rsidRPr="006F583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proofErr w:type="gram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друштвена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различитост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583E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неговатељице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спремачице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сервирке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готово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стопроцентна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заинтересованост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припадница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женског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3E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6F5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83E" w:rsidRDefault="006F583E" w:rsidP="006F58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Старосна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неуравнотежена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0477">
        <w:rPr>
          <w:rFonts w:ascii="Times New Roman" w:hAnsi="Times New Roman" w:cs="Times New Roman"/>
          <w:sz w:val="24"/>
          <w:szCs w:val="24"/>
        </w:rPr>
        <w:t xml:space="preserve"> 47,4%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старости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 50 и 60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, а 12,8%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старости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наредним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годинама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напустити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одливом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стицања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одлазак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старосну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477">
        <w:rPr>
          <w:rFonts w:ascii="Times New Roman" w:hAnsi="Times New Roman" w:cs="Times New Roman"/>
          <w:sz w:val="24"/>
          <w:szCs w:val="24"/>
        </w:rPr>
        <w:t>пензију</w:t>
      </w:r>
      <w:proofErr w:type="spellEnd"/>
      <w:r w:rsidR="002E0477">
        <w:rPr>
          <w:rFonts w:ascii="Times New Roman" w:hAnsi="Times New Roman" w:cs="Times New Roman"/>
          <w:sz w:val="24"/>
          <w:szCs w:val="24"/>
        </w:rPr>
        <w:t>.</w:t>
      </w:r>
    </w:p>
    <w:p w:rsidR="00027C7A" w:rsidRPr="00027C7A" w:rsidRDefault="00027C7A" w:rsidP="006F58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поседују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VII/1 и VI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18486E">
        <w:rPr>
          <w:rFonts w:ascii="Times New Roman" w:hAnsi="Times New Roman" w:cs="Times New Roman"/>
          <w:sz w:val="24"/>
          <w:szCs w:val="24"/>
        </w:rPr>
        <w:t>звршилаца</w:t>
      </w:r>
      <w:proofErr w:type="spellEnd"/>
      <w:r w:rsidR="0018486E">
        <w:rPr>
          <w:rFonts w:ascii="Times New Roman" w:hAnsi="Times New Roman" w:cs="Times New Roman"/>
          <w:sz w:val="24"/>
          <w:szCs w:val="24"/>
        </w:rPr>
        <w:t>, ССС 105</w:t>
      </w:r>
      <w:r w:rsidR="003B0D5B">
        <w:rPr>
          <w:rFonts w:ascii="Times New Roman" w:hAnsi="Times New Roman" w:cs="Times New Roman"/>
          <w:sz w:val="24"/>
          <w:szCs w:val="24"/>
          <w:lang/>
        </w:rPr>
        <w:t>, II степен 1</w:t>
      </w:r>
      <w:r w:rsidR="0018486E">
        <w:rPr>
          <w:rFonts w:ascii="Times New Roman" w:hAnsi="Times New Roman" w:cs="Times New Roman"/>
          <w:sz w:val="24"/>
          <w:szCs w:val="24"/>
        </w:rPr>
        <w:t xml:space="preserve"> и </w:t>
      </w:r>
      <w:r w:rsidR="0018486E">
        <w:rPr>
          <w:rFonts w:ascii="Times New Roman" w:hAnsi="Times New Roman" w:cs="Times New Roman"/>
          <w:sz w:val="24"/>
          <w:szCs w:val="24"/>
          <w:lang/>
        </w:rPr>
        <w:t>основно образовање</w:t>
      </w:r>
      <w:r w:rsidR="003B0D5B">
        <w:rPr>
          <w:rFonts w:ascii="Times New Roman" w:hAnsi="Times New Roman" w:cs="Times New Roman"/>
          <w:sz w:val="24"/>
          <w:szCs w:val="24"/>
        </w:rPr>
        <w:t xml:space="preserve"> 1</w:t>
      </w:r>
      <w:r w:rsidR="003B0D5B">
        <w:rPr>
          <w:rFonts w:ascii="Times New Roman" w:hAnsi="Times New Roman" w:cs="Times New Roman"/>
          <w:sz w:val="24"/>
          <w:szCs w:val="24"/>
          <w:lang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0477" w:rsidRDefault="002E0477" w:rsidP="002E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477">
        <w:rPr>
          <w:rFonts w:ascii="Times New Roman" w:hAnsi="Times New Roman" w:cs="Times New Roman"/>
          <w:sz w:val="24"/>
          <w:szCs w:val="24"/>
        </w:rPr>
        <w:lastRenderedPageBreak/>
        <w:t>Установа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руководе</w:t>
      </w:r>
      <w:r w:rsidR="009D2916">
        <w:rPr>
          <w:rFonts w:ascii="Times New Roman" w:hAnsi="Times New Roman" w:cs="Times New Roman"/>
          <w:sz w:val="24"/>
          <w:szCs w:val="24"/>
        </w:rPr>
        <w:t>ћих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916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916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(6%), </w:t>
      </w:r>
      <w:proofErr w:type="spellStart"/>
      <w:r w:rsidR="009D29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916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="009D2916">
        <w:rPr>
          <w:rFonts w:ascii="Times New Roman" w:hAnsi="Times New Roman" w:cs="Times New Roman"/>
          <w:sz w:val="24"/>
          <w:szCs w:val="24"/>
        </w:rPr>
        <w:t xml:space="preserve"> (3,8%) </w:t>
      </w:r>
      <w:proofErr w:type="spellStart"/>
      <w:r w:rsidR="009D2916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9D2916">
        <w:rPr>
          <w:rFonts w:ascii="Times New Roman" w:hAnsi="Times New Roman" w:cs="Times New Roman"/>
          <w:sz w:val="24"/>
          <w:szCs w:val="24"/>
        </w:rPr>
        <w:t xml:space="preserve"> и 3  (2,2</w:t>
      </w:r>
      <w:r w:rsidRPr="002E0477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мушкарца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E0477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распоређивање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заступљеног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упражњена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извршилачка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руководећа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кадровским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капацитетом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квалификацијама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искуством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параметрима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значајним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477">
        <w:rPr>
          <w:rFonts w:ascii="Times New Roman" w:hAnsi="Times New Roman" w:cs="Times New Roman"/>
          <w:sz w:val="24"/>
          <w:szCs w:val="24"/>
        </w:rPr>
        <w:t>руководећу</w:t>
      </w:r>
      <w:proofErr w:type="spellEnd"/>
      <w:r w:rsidRPr="002E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A1E" w:rsidRPr="0020083A" w:rsidRDefault="00444A1E" w:rsidP="00444A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4A1E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гарантоване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Уредбом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коефицијентима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Уредбом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4A1E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једнака</w:t>
      </w:r>
      <w:proofErr w:type="spellEnd"/>
      <w:proofErr w:type="gram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пуно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сложености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полну</w:t>
      </w:r>
      <w:proofErr w:type="spellEnd"/>
      <w:r w:rsidRPr="0044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E">
        <w:rPr>
          <w:rFonts w:ascii="Times New Roman" w:hAnsi="Times New Roman" w:cs="Times New Roman"/>
          <w:sz w:val="24"/>
          <w:szCs w:val="24"/>
        </w:rPr>
        <w:t>структуру</w:t>
      </w:r>
      <w:proofErr w:type="spellEnd"/>
      <w:r w:rsidR="0020083A">
        <w:rPr>
          <w:rFonts w:ascii="Times New Roman" w:hAnsi="Times New Roman" w:cs="Times New Roman"/>
          <w:sz w:val="24"/>
          <w:szCs w:val="24"/>
        </w:rPr>
        <w:t>.</w:t>
      </w:r>
    </w:p>
    <w:p w:rsidR="0020083A" w:rsidRDefault="0020083A" w:rsidP="00200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08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проценат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ангажованих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уравнотежен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3 (60%)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и 2 (40%)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мушкарца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Надзорни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2 ( 67%) 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и 1 (33%)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мушкарац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0083A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Ресорно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имплементације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проистеклих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подзаконских</w:t>
      </w:r>
      <w:proofErr w:type="spellEnd"/>
      <w:r w:rsidRPr="0020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3A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083A" w:rsidRPr="00C933DF" w:rsidRDefault="0020083A" w:rsidP="00200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нулту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узнемиравања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узнемиравања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33DF" w:rsidRP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33DF" w:rsidRPr="001F5349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тежи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неговању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узајамног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ненасилног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решавања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међуљудским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="00C933DF" w:rsidRPr="001F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1F5349">
        <w:rPr>
          <w:rFonts w:ascii="Times New Roman" w:hAnsi="Times New Roman" w:cs="Times New Roman"/>
          <w:sz w:val="24"/>
          <w:szCs w:val="24"/>
        </w:rPr>
        <w:t>род</w:t>
      </w:r>
      <w:r w:rsidR="00C933DF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заснованог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поштовању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7C7A" w:rsidRPr="002E0477" w:rsidRDefault="00444A1E" w:rsidP="002E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узимајући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задовољавајуће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0477" w:rsidRDefault="00444A1E" w:rsidP="002E0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ПОСЕБНЕ МЕРЕ ЗА ОСТВАРИВАЊЕ И УНАПРЕЂЕЊЕ РОДНЕ РАВНОПРАВНОСТИ</w:t>
      </w:r>
    </w:p>
    <w:p w:rsidR="00C933DF" w:rsidRDefault="00C933DF" w:rsidP="002E0477">
      <w:pPr>
        <w:jc w:val="both"/>
        <w:rPr>
          <w:rFonts w:ascii="Times New Roman" w:hAnsi="Times New Roman" w:cs="Times New Roman"/>
          <w:sz w:val="24"/>
          <w:szCs w:val="24"/>
        </w:rPr>
      </w:pPr>
      <w:r w:rsidRPr="00C933D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933D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мушкарце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933DF" w:rsidRPr="00CD2E27" w:rsidRDefault="00DD6003" w:rsidP="00C933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осетљив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термина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C933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33DF">
        <w:rPr>
          <w:rFonts w:ascii="Times New Roman" w:hAnsi="Times New Roman" w:cs="Times New Roman"/>
          <w:sz w:val="24"/>
          <w:szCs w:val="24"/>
        </w:rPr>
        <w:t>комуникацији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занимања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означавају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DF" w:rsidRPr="00CD2E27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="00C933DF" w:rsidRPr="00CD2E27">
        <w:rPr>
          <w:rFonts w:ascii="Times New Roman" w:hAnsi="Times New Roman" w:cs="Times New Roman"/>
          <w:sz w:val="24"/>
          <w:szCs w:val="24"/>
        </w:rPr>
        <w:t>;</w:t>
      </w:r>
    </w:p>
    <w:p w:rsidR="00C933DF" w:rsidRPr="005F1C49" w:rsidRDefault="00C933DF" w:rsidP="00C933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1C49">
        <w:rPr>
          <w:rFonts w:ascii="Times New Roman" w:hAnsi="Times New Roman" w:cs="Times New Roman"/>
          <w:sz w:val="24"/>
          <w:szCs w:val="24"/>
        </w:rPr>
        <w:t>увек</w:t>
      </w:r>
      <w:proofErr w:type="spellEnd"/>
      <w:proofErr w:type="gram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различитог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применити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предност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уравнотежено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C49">
        <w:rPr>
          <w:rFonts w:ascii="Times New Roman" w:hAnsi="Times New Roman" w:cs="Times New Roman"/>
          <w:sz w:val="24"/>
          <w:szCs w:val="24"/>
        </w:rPr>
        <w:t>заступљен</w:t>
      </w:r>
      <w:proofErr w:type="spellEnd"/>
      <w:r w:rsidRPr="005F1C49">
        <w:rPr>
          <w:rFonts w:ascii="Times New Roman" w:hAnsi="Times New Roman" w:cs="Times New Roman"/>
          <w:sz w:val="24"/>
          <w:szCs w:val="24"/>
        </w:rPr>
        <w:t>;</w:t>
      </w:r>
    </w:p>
    <w:p w:rsidR="00204A74" w:rsidRDefault="00204A74" w:rsidP="00204A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стицања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препознавању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сексуалне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инвалидитета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пропадности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расе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lastRenderedPageBreak/>
        <w:t>личних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2FB">
        <w:rPr>
          <w:rFonts w:ascii="Times New Roman" w:hAnsi="Times New Roman" w:cs="Times New Roman"/>
          <w:sz w:val="24"/>
          <w:szCs w:val="24"/>
        </w:rPr>
        <w:t>својстава</w:t>
      </w:r>
      <w:proofErr w:type="spellEnd"/>
      <w:r w:rsidR="003E0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4A74" w:rsidRPr="00204A74" w:rsidRDefault="00204A74" w:rsidP="00204A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неуравнотеженост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материнство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негу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породичне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омогућавање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немају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ноћног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прековременог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933DF" w:rsidRPr="00204A74" w:rsidRDefault="00204A74" w:rsidP="00204A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квалитетан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4A74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proofErr w:type="gramEnd"/>
      <w:r w:rsidRPr="00204A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смештају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националну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инвалидитет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жртве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својства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свима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условљава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критеријуме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доводе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неравноправности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смештају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условљен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Захтевом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смештај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0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74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4A74" w:rsidRPr="00204A74" w:rsidRDefault="00204A74" w:rsidP="00204A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4A74" w:rsidRPr="00DD6003" w:rsidRDefault="003B0D5B" w:rsidP="00204A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у складу са својим могућностима Установа ће, у поступку финансијског планирања, узети у обзир и планирање родно одговорног буџетирања</w:t>
      </w:r>
      <w:r w:rsidR="0018486E">
        <w:rPr>
          <w:rFonts w:ascii="Times New Roman" w:hAnsi="Times New Roman" w:cs="Times New Roman"/>
          <w:sz w:val="24"/>
          <w:szCs w:val="24"/>
          <w:lang/>
        </w:rPr>
        <w:t>.</w:t>
      </w:r>
    </w:p>
    <w:p w:rsidR="00DD6003" w:rsidRPr="000F280C" w:rsidRDefault="00DD6003" w:rsidP="0018486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F280C" w:rsidRDefault="000F280C" w:rsidP="000F28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0C">
        <w:rPr>
          <w:rFonts w:ascii="Times New Roman" w:hAnsi="Times New Roman" w:cs="Times New Roman"/>
          <w:b/>
          <w:sz w:val="24"/>
          <w:szCs w:val="24"/>
        </w:rPr>
        <w:t>РАЗЛОЗИ ЗА ОДРЕЂИВАЊЕ ПОСЕБНИХ МЕРА</w:t>
      </w:r>
    </w:p>
    <w:p w:rsidR="00A516BF" w:rsidRDefault="00CC2222" w:rsidP="00A516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</w:t>
      </w:r>
      <w:r w:rsidRPr="00320C0A">
        <w:rPr>
          <w:rFonts w:ascii="Times New Roman" w:hAnsi="Times New Roman" w:cs="Times New Roman"/>
          <w:sz w:val="24"/>
          <w:szCs w:val="24"/>
        </w:rPr>
        <w:t>ваћене</w:t>
      </w:r>
      <w:proofErr w:type="spellEnd"/>
      <w:r w:rsidRPr="00320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0A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320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процењено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6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3774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77463"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 w:rsidR="0037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63">
        <w:rPr>
          <w:rFonts w:ascii="Times New Roman" w:hAnsi="Times New Roman" w:cs="Times New Roman"/>
          <w:sz w:val="24"/>
          <w:szCs w:val="24"/>
        </w:rPr>
        <w:t>интересима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људским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ресурсима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16BF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7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7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сведе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6BF">
        <w:rPr>
          <w:rFonts w:ascii="Times New Roman" w:hAnsi="Times New Roman" w:cs="Times New Roman"/>
          <w:sz w:val="24"/>
          <w:szCs w:val="24"/>
        </w:rPr>
        <w:t>минимум</w:t>
      </w:r>
      <w:proofErr w:type="spellEnd"/>
      <w:r w:rsidR="00A516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280C" w:rsidRPr="000F280C" w:rsidRDefault="000F280C" w:rsidP="000F28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ПОЧЕТАК ПРИМЕНЕ ПОСЕБНИХ МЕРА</w:t>
      </w:r>
    </w:p>
    <w:p w:rsidR="00DD6003" w:rsidRDefault="00DD6003" w:rsidP="00DD60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примењиваће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EA06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0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80C" w:rsidRPr="000F280C" w:rsidRDefault="000F280C" w:rsidP="00DD60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0C">
        <w:rPr>
          <w:rFonts w:ascii="Times New Roman" w:hAnsi="Times New Roman" w:cs="Times New Roman"/>
          <w:b/>
          <w:sz w:val="24"/>
          <w:szCs w:val="24"/>
        </w:rPr>
        <w:t>НАЧИН СПРОВОЂЕЊА И КОНТРОЛЕ ПОСЕБНИХ МЕРА</w:t>
      </w:r>
    </w:p>
    <w:p w:rsidR="000F280C" w:rsidRDefault="000F280C" w:rsidP="00DD60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исказују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бројчано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процентуално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80C" w:rsidRDefault="000F280C" w:rsidP="00DD60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lastRenderedPageBreak/>
        <w:t>оцену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остварене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остварена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равноправна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заступљеност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6E9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="003746E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06F9" w:rsidRDefault="00144734" w:rsidP="00EA06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задужено</w:t>
      </w:r>
      <w:proofErr w:type="spellEnd"/>
      <w:r w:rsidRP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F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F9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F9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координације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EA06F9" w:rsidRPr="00EA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6F9" w:rsidRPr="00EA06F9">
        <w:rPr>
          <w:rFonts w:ascii="Times New Roman" w:hAnsi="Times New Roman" w:cs="Times New Roman"/>
          <w:sz w:val="24"/>
          <w:szCs w:val="24"/>
        </w:rPr>
        <w:t>спровође</w:t>
      </w:r>
      <w:r>
        <w:rPr>
          <w:rFonts w:ascii="Times New Roman" w:hAnsi="Times New Roman" w:cs="Times New Roman"/>
          <w:sz w:val="24"/>
          <w:szCs w:val="24"/>
        </w:rPr>
        <w:t>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EA06F9" w:rsidRPr="00EA06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4734" w:rsidRPr="00EA06F9" w:rsidRDefault="00144734" w:rsidP="00EA06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</w:t>
      </w:r>
      <w:r w:rsidR="00CC2222">
        <w:rPr>
          <w:rFonts w:ascii="Times New Roman" w:hAnsi="Times New Roman" w:cs="Times New Roman"/>
          <w:sz w:val="24"/>
          <w:szCs w:val="24"/>
        </w:rPr>
        <w:t>инска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друштвени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дијалог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222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CC22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06F9" w:rsidRDefault="00EA06F9" w:rsidP="00DD6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9A2" w:rsidRPr="00B329A2" w:rsidRDefault="00B329A2" w:rsidP="00DD6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ЗАДУЖЕНО ЗА РОДНУ РАВНОПРАВНОСТ</w:t>
      </w:r>
    </w:p>
    <w:tbl>
      <w:tblPr>
        <w:tblStyle w:val="TableGrid"/>
        <w:tblW w:w="0" w:type="auto"/>
        <w:tblLook w:val="04A0"/>
      </w:tblPr>
      <w:tblGrid>
        <w:gridCol w:w="1188"/>
        <w:gridCol w:w="1530"/>
        <w:gridCol w:w="1890"/>
        <w:gridCol w:w="3060"/>
        <w:gridCol w:w="1908"/>
      </w:tblGrid>
      <w:tr w:rsidR="00B329A2" w:rsidTr="00B329A2">
        <w:tc>
          <w:tcPr>
            <w:tcW w:w="1188" w:type="dxa"/>
          </w:tcPr>
          <w:p w:rsid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29A2" w:rsidRP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Славица</w:t>
            </w:r>
            <w:proofErr w:type="spellEnd"/>
          </w:p>
        </w:tc>
        <w:tc>
          <w:tcPr>
            <w:tcW w:w="1530" w:type="dxa"/>
          </w:tcPr>
          <w:p w:rsid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29A2" w:rsidRP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1890" w:type="dxa"/>
          </w:tcPr>
          <w:p w:rsid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B329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29A2" w:rsidRP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011/8231-826</w:t>
            </w:r>
          </w:p>
        </w:tc>
        <w:tc>
          <w:tcPr>
            <w:tcW w:w="3060" w:type="dxa"/>
          </w:tcPr>
          <w:p w:rsid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329A2" w:rsidRP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gcmladenovacslavica@gmail.com</w:t>
            </w:r>
          </w:p>
        </w:tc>
        <w:tc>
          <w:tcPr>
            <w:tcW w:w="1908" w:type="dxa"/>
          </w:tcPr>
          <w:p w:rsidR="00B329A2" w:rsidRPr="00B329A2" w:rsidRDefault="00B329A2" w:rsidP="00DD6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DD6003" w:rsidRPr="00B329A2" w:rsidRDefault="00DD6003" w:rsidP="00DD6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424" w:rsidRPr="00B329A2" w:rsidRDefault="003B0D5B" w:rsidP="00444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>9</w:t>
      </w:r>
      <w:r w:rsidR="00B329A2">
        <w:rPr>
          <w:rFonts w:ascii="Times New Roman" w:hAnsi="Times New Roman" w:cs="Times New Roman"/>
          <w:sz w:val="24"/>
          <w:szCs w:val="24"/>
        </w:rPr>
        <w:t>.12.2022.године</w:t>
      </w:r>
    </w:p>
    <w:p w:rsidR="00B329A2" w:rsidRDefault="00B329A2" w:rsidP="00444A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</w:p>
    <w:p w:rsidR="00B329A2" w:rsidRDefault="00B329A2" w:rsidP="00444A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9A2" w:rsidRDefault="00B329A2" w:rsidP="00B329A2">
      <w:pPr>
        <w:ind w:left="7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</w:p>
    <w:p w:rsidR="00B329A2" w:rsidRPr="00B329A2" w:rsidRDefault="00B329A2" w:rsidP="00B329A2">
      <w:pPr>
        <w:ind w:left="7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Гајић</w:t>
      </w:r>
      <w:proofErr w:type="spellEnd"/>
    </w:p>
    <w:sectPr w:rsidR="00B329A2" w:rsidRPr="00B329A2" w:rsidSect="00447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E43"/>
    <w:multiLevelType w:val="hybridMultilevel"/>
    <w:tmpl w:val="498C13CA"/>
    <w:lvl w:ilvl="0" w:tplc="931C0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39D"/>
    <w:multiLevelType w:val="hybridMultilevel"/>
    <w:tmpl w:val="2A6A8218"/>
    <w:lvl w:ilvl="0" w:tplc="D2BAD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20"/>
  <w:characterSpacingControl w:val="doNotCompress"/>
  <w:compat/>
  <w:rsids>
    <w:rsidRoot w:val="004860C0"/>
    <w:rsid w:val="00027C7A"/>
    <w:rsid w:val="00044F5E"/>
    <w:rsid w:val="0005698D"/>
    <w:rsid w:val="000F280C"/>
    <w:rsid w:val="00144734"/>
    <w:rsid w:val="0018486E"/>
    <w:rsid w:val="0020083A"/>
    <w:rsid w:val="00204A74"/>
    <w:rsid w:val="002E0477"/>
    <w:rsid w:val="003746E9"/>
    <w:rsid w:val="00377463"/>
    <w:rsid w:val="003B0D5B"/>
    <w:rsid w:val="003E02FB"/>
    <w:rsid w:val="00444A1E"/>
    <w:rsid w:val="004860C0"/>
    <w:rsid w:val="00623307"/>
    <w:rsid w:val="00624F29"/>
    <w:rsid w:val="006F583E"/>
    <w:rsid w:val="00794D34"/>
    <w:rsid w:val="008D28DF"/>
    <w:rsid w:val="00981EA7"/>
    <w:rsid w:val="009D2916"/>
    <w:rsid w:val="00A516BF"/>
    <w:rsid w:val="00B329A2"/>
    <w:rsid w:val="00C54CC2"/>
    <w:rsid w:val="00C933DF"/>
    <w:rsid w:val="00CC2222"/>
    <w:rsid w:val="00DD6003"/>
    <w:rsid w:val="00EA06F9"/>
    <w:rsid w:val="00F03424"/>
    <w:rsid w:val="00F7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0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583E"/>
    <w:pPr>
      <w:ind w:left="720"/>
      <w:contextualSpacing/>
    </w:pPr>
  </w:style>
  <w:style w:type="table" w:styleId="TableGrid">
    <w:name w:val="Table Grid"/>
    <w:basedOn w:val="TableNormal"/>
    <w:uiPriority w:val="59"/>
    <w:rsid w:val="00B32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cmladenov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cmladenova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055D-7C8D-4188-8C93-FAE74956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</dc:creator>
  <cp:lastModifiedBy>Slavica</cp:lastModifiedBy>
  <cp:revision>12</cp:revision>
  <cp:lastPrinted>2022-12-29T10:51:00Z</cp:lastPrinted>
  <dcterms:created xsi:type="dcterms:W3CDTF">2022-12-21T12:47:00Z</dcterms:created>
  <dcterms:modified xsi:type="dcterms:W3CDTF">2022-12-29T10:52:00Z</dcterms:modified>
</cp:coreProperties>
</file>